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8A" w:rsidRDefault="0000488A" w:rsidP="0000488A">
      <w:bookmarkStart w:id="0" w:name="_GoBack"/>
      <w:bookmarkEnd w:id="0"/>
    </w:p>
    <w:p w:rsidR="0000488A" w:rsidRDefault="0000488A" w:rsidP="0000488A"/>
    <w:p w:rsidR="0000488A" w:rsidRDefault="0000488A" w:rsidP="0000488A">
      <w:r>
        <w:t>Date:</w:t>
      </w:r>
      <w:r>
        <w:tab/>
      </w:r>
      <w:r w:rsidR="000C266C">
        <w:t>December 15</w:t>
      </w:r>
      <w:r>
        <w:t>, 2016</w:t>
      </w:r>
    </w:p>
    <w:p w:rsidR="0000488A" w:rsidRDefault="0000488A" w:rsidP="0000488A"/>
    <w:p w:rsidR="0000488A" w:rsidRDefault="0000488A" w:rsidP="0000488A">
      <w:r>
        <w:t>To:</w:t>
      </w:r>
      <w:r>
        <w:tab/>
        <w:t>Operating Record</w:t>
      </w:r>
    </w:p>
    <w:p w:rsidR="0000488A" w:rsidRDefault="0000488A" w:rsidP="0000488A"/>
    <w:p w:rsidR="0000488A" w:rsidRDefault="0000488A" w:rsidP="0000488A">
      <w:r>
        <w:t>From:</w:t>
      </w:r>
      <w:r>
        <w:tab/>
        <w:t>Kathryn M. Cunningham, P.E.</w:t>
      </w:r>
    </w:p>
    <w:p w:rsidR="0000488A" w:rsidRDefault="0000488A" w:rsidP="0000488A"/>
    <w:p w:rsidR="0000488A" w:rsidRDefault="0000488A" w:rsidP="0000488A">
      <w:r>
        <w:t>RE:</w:t>
      </w:r>
      <w:r w:rsidRPr="007277A7">
        <w:t xml:space="preserve"> </w:t>
      </w:r>
      <w:r>
        <w:tab/>
        <w:t>Annual</w:t>
      </w:r>
      <w:r w:rsidR="000C266C">
        <w:t xml:space="preserve"> CCR</w:t>
      </w:r>
      <w:r>
        <w:t xml:space="preserve"> Fugitive Dust Control Report </w:t>
      </w:r>
    </w:p>
    <w:p w:rsidR="0000488A" w:rsidRDefault="00E24E4F" w:rsidP="00E24E4F">
      <w:pPr>
        <w:ind w:firstLine="720"/>
      </w:pPr>
      <w:r>
        <w:t>D.E. Karn Generating Electric Facility</w:t>
      </w:r>
    </w:p>
    <w:p w:rsidR="00E24E4F" w:rsidRDefault="00E24E4F" w:rsidP="00E24E4F">
      <w:pPr>
        <w:ind w:firstLine="720"/>
      </w:pPr>
    </w:p>
    <w:p w:rsidR="0000488A" w:rsidRPr="00667F01" w:rsidRDefault="0000488A" w:rsidP="0000488A">
      <w:pPr>
        <w:rPr>
          <w:b/>
        </w:rPr>
      </w:pPr>
      <w:r w:rsidRPr="00667F01">
        <w:rPr>
          <w:b/>
        </w:rPr>
        <w:t>Introduction</w:t>
      </w:r>
    </w:p>
    <w:p w:rsidR="00AB2C25" w:rsidRDefault="000C266C" w:rsidP="00284147">
      <w:pPr>
        <w:autoSpaceDE w:val="0"/>
        <w:autoSpaceDN w:val="0"/>
        <w:adjustRightInd w:val="0"/>
      </w:pPr>
      <w:r w:rsidRPr="00587384">
        <w:t>Th</w:t>
      </w:r>
      <w:r>
        <w:t xml:space="preserve">is report is the first Annual CCR Fugitive Dust Control Report required by </w:t>
      </w:r>
      <w:r w:rsidR="00DD75E5" w:rsidRPr="00284147">
        <w:t>the United States Environmental Protection Agency (EPA)</w:t>
      </w:r>
      <w:r w:rsidR="00DD75E5">
        <w:t>,</w:t>
      </w:r>
      <w:r w:rsidR="00DD75E5" w:rsidRPr="00284147">
        <w:t xml:space="preserve"> Coal Combustion</w:t>
      </w:r>
      <w:r w:rsidR="00DD75E5">
        <w:t xml:space="preserve"> </w:t>
      </w:r>
      <w:r w:rsidR="00DD75E5" w:rsidRPr="00284147">
        <w:t>Residual (CCR) Resource Conservation and Recovery Act (RCRA) Rule</w:t>
      </w:r>
      <w:r w:rsidR="00DD75E5">
        <w:t>.</w:t>
      </w:r>
      <w:r w:rsidR="00E24E4F">
        <w:t xml:space="preserve"> </w:t>
      </w:r>
      <w:r w:rsidRPr="00587384">
        <w:t xml:space="preserve"> </w:t>
      </w:r>
      <w:r>
        <w:t xml:space="preserve">It </w:t>
      </w:r>
      <w:r w:rsidRPr="00587384">
        <w:t>describe</w:t>
      </w:r>
      <w:r>
        <w:t>s</w:t>
      </w:r>
      <w:r w:rsidRPr="00587384">
        <w:t xml:space="preserve"> the measures </w:t>
      </w:r>
      <w:r>
        <w:t>implemented at</w:t>
      </w:r>
      <w:r w:rsidRPr="00587384">
        <w:t xml:space="preserve"> </w:t>
      </w:r>
      <w:r>
        <w:t xml:space="preserve">Consumers Energy’s </w:t>
      </w:r>
      <w:r w:rsidR="00E24E4F">
        <w:t>Dan E. Karn (DEK)</w:t>
      </w:r>
      <w:r w:rsidR="00C80431">
        <w:t xml:space="preserve"> Generating </w:t>
      </w:r>
      <w:r w:rsidR="00E24E4F">
        <w:t>Faci</w:t>
      </w:r>
      <w:r w:rsidR="002C772B">
        <w:t>l</w:t>
      </w:r>
      <w:r w:rsidR="00E24E4F">
        <w:t>i</w:t>
      </w:r>
      <w:r w:rsidR="002C772B">
        <w:t>t</w:t>
      </w:r>
      <w:r w:rsidR="00E24E4F">
        <w:t xml:space="preserve">y </w:t>
      </w:r>
      <w:r w:rsidR="0000488A" w:rsidRPr="00587384">
        <w:t xml:space="preserve">for minimizing fugitive dust emissions from </w:t>
      </w:r>
      <w:r w:rsidR="0000488A">
        <w:t>coal combustion</w:t>
      </w:r>
      <w:r w:rsidR="0000488A" w:rsidRPr="00587384">
        <w:t xml:space="preserve"> residual</w:t>
      </w:r>
      <w:r w:rsidR="0000488A">
        <w:t>s</w:t>
      </w:r>
      <w:r w:rsidR="0000488A" w:rsidRPr="00587384">
        <w:t xml:space="preserve"> (CCR)</w:t>
      </w:r>
      <w:r w:rsidR="00E24E4F">
        <w:t xml:space="preserve"> </w:t>
      </w:r>
      <w:r w:rsidR="00876C32">
        <w:t>from</w:t>
      </w:r>
      <w:r w:rsidR="00E24E4F">
        <w:t xml:space="preserve"> Bottom Ash and </w:t>
      </w:r>
      <w:r w:rsidR="00271C67">
        <w:t>Spray Dryer Absorber</w:t>
      </w:r>
      <w:r w:rsidR="00876C32">
        <w:t xml:space="preserve"> (</w:t>
      </w:r>
      <w:r w:rsidR="00E24E4F">
        <w:t>SDA</w:t>
      </w:r>
      <w:r w:rsidR="00876C32">
        <w:t>)</w:t>
      </w:r>
      <w:r w:rsidR="00E24E4F">
        <w:t xml:space="preserve"> byproduct</w:t>
      </w:r>
      <w:r w:rsidR="0000488A">
        <w:t>.</w:t>
      </w:r>
      <w:r w:rsidR="0000488A" w:rsidRPr="00587384">
        <w:t xml:space="preserve">  The </w:t>
      </w:r>
      <w:r w:rsidR="00E24E4F">
        <w:t>DEK</w:t>
      </w:r>
      <w:r w:rsidR="0000488A">
        <w:t xml:space="preserve"> </w:t>
      </w:r>
      <w:r w:rsidR="0000488A" w:rsidRPr="00587384">
        <w:t xml:space="preserve">facility is </w:t>
      </w:r>
      <w:r w:rsidR="0000488A">
        <w:t xml:space="preserve">located at </w:t>
      </w:r>
      <w:r w:rsidR="002C772B">
        <w:t>2555 N. Weadock Highway in</w:t>
      </w:r>
      <w:r w:rsidR="00E24E4F">
        <w:t xml:space="preserve"> Essexville, MI</w:t>
      </w:r>
      <w:r w:rsidR="0000488A">
        <w:t xml:space="preserve"> Michigan and </w:t>
      </w:r>
      <w:r w:rsidR="00E24E4F">
        <w:t xml:space="preserve">employs two </w:t>
      </w:r>
      <w:r w:rsidR="0000488A" w:rsidRPr="00587384">
        <w:t xml:space="preserve">coal fired </w:t>
      </w:r>
      <w:r w:rsidR="00E24E4F">
        <w:t>boilers, Unit 1 and Unit 2</w:t>
      </w:r>
      <w:r w:rsidR="002C772B">
        <w:t xml:space="preserve"> to generate electric</w:t>
      </w:r>
      <w:r w:rsidR="00E24E4F">
        <w:t xml:space="preserve">.  </w:t>
      </w:r>
      <w:r w:rsidR="00AB2C25">
        <w:t xml:space="preserve">The J.C Weadock facility discontinued coal firing operation in Boiler Units 7 and 8 by March 25, 2016.  As both of these facilities are located on the same site, this report covers all CCR units on the Consumers Energy Karn/Weadock site.   </w:t>
      </w:r>
    </w:p>
    <w:p w:rsidR="00AB2C25" w:rsidRDefault="00AB2C25" w:rsidP="00284147">
      <w:pPr>
        <w:autoSpaceDE w:val="0"/>
        <w:autoSpaceDN w:val="0"/>
        <w:adjustRightInd w:val="0"/>
      </w:pPr>
    </w:p>
    <w:p w:rsidR="0000488A" w:rsidRDefault="002C772B" w:rsidP="00284147">
      <w:pPr>
        <w:autoSpaceDE w:val="0"/>
        <w:autoSpaceDN w:val="0"/>
        <w:adjustRightInd w:val="0"/>
      </w:pPr>
      <w:r>
        <w:t>T</w:t>
      </w:r>
      <w:r w:rsidR="0000488A">
        <w:t>his report</w:t>
      </w:r>
      <w:r w:rsidR="0000488A" w:rsidRPr="00587384">
        <w:t xml:space="preserve"> </w:t>
      </w:r>
      <w:r w:rsidR="0000488A">
        <w:t>has been developed</w:t>
      </w:r>
      <w:r w:rsidR="0000488A" w:rsidRPr="00587384">
        <w:t xml:space="preserve"> </w:t>
      </w:r>
      <w:r w:rsidR="00214305">
        <w:t xml:space="preserve">and placed in the facility operating record </w:t>
      </w:r>
      <w:r w:rsidR="0000488A" w:rsidRPr="00587384">
        <w:t xml:space="preserve">in accordance with the </w:t>
      </w:r>
      <w:r w:rsidR="0000488A">
        <w:t>CCR</w:t>
      </w:r>
      <w:r w:rsidR="00C15C1C">
        <w:t xml:space="preserve"> </w:t>
      </w:r>
      <w:r w:rsidR="0000488A" w:rsidRPr="00587384">
        <w:t xml:space="preserve">regulations stipulated in </w:t>
      </w:r>
      <w:r w:rsidR="0000488A" w:rsidRPr="00B53E23">
        <w:t>40 CFR Part 2</w:t>
      </w:r>
      <w:r w:rsidR="00DA0BCD">
        <w:t>57.80</w:t>
      </w:r>
      <w:r w:rsidR="00341DD1">
        <w:t>(c)</w:t>
      </w:r>
      <w:r w:rsidR="00214305">
        <w:t>,</w:t>
      </w:r>
      <w:r w:rsidR="00DA0BCD">
        <w:t xml:space="preserve"> as well as post</w:t>
      </w:r>
      <w:r w:rsidR="00214305">
        <w:t>ed</w:t>
      </w:r>
      <w:r w:rsidR="00DA0BCD">
        <w:t xml:space="preserve"> to the</w:t>
      </w:r>
      <w:r w:rsidR="0000488A">
        <w:t xml:space="preserve"> public website </w:t>
      </w:r>
      <w:r w:rsidR="00DA0BCD">
        <w:t>in accordance with 257.107(d)</w:t>
      </w:r>
      <w:r w:rsidR="0000488A">
        <w:t xml:space="preserve">.   This report is required to </w:t>
      </w:r>
      <w:r w:rsidR="0000488A" w:rsidRPr="0025150C">
        <w:t>include a description of the actions taken by plant personnel or contractors to control CCR fugitive dust, a record of all citizen complaints, and a summary of any corrective actions taken.</w:t>
      </w:r>
      <w:r w:rsidR="0000488A" w:rsidRPr="00587384">
        <w:t xml:space="preserve"> </w:t>
      </w:r>
      <w:r w:rsidR="0000488A">
        <w:t xml:space="preserve">  </w:t>
      </w:r>
    </w:p>
    <w:p w:rsidR="0000488A" w:rsidRDefault="0000488A" w:rsidP="0000488A"/>
    <w:p w:rsidR="0000488A" w:rsidRDefault="0000488A" w:rsidP="0000488A">
      <w:pPr>
        <w:rPr>
          <w:b/>
        </w:rPr>
      </w:pPr>
      <w:r w:rsidRPr="00667F01">
        <w:rPr>
          <w:b/>
        </w:rPr>
        <w:t>Fugitive Dust Control Activities</w:t>
      </w:r>
    </w:p>
    <w:p w:rsidR="00C62142" w:rsidRDefault="00C62142" w:rsidP="0000488A">
      <w:pPr>
        <w:rPr>
          <w:b/>
        </w:rPr>
      </w:pPr>
    </w:p>
    <w:p w:rsidR="00C62142" w:rsidRDefault="00C62142" w:rsidP="00C62142">
      <w:r w:rsidRPr="00925281">
        <w:t xml:space="preserve">The </w:t>
      </w:r>
      <w:r>
        <w:t xml:space="preserve">Weadock </w:t>
      </w:r>
      <w:r w:rsidRPr="00925281">
        <w:t xml:space="preserve">dry fly ash handling system discontinued operation after full shut down of the boiler unit ID fans and electrostatic precipitators.  The dry ash handling systems (piping and silo) were cleaned out and ash was disposed of properly.  Up until that time, proper maintenance and daily monitoring of the flyash handling systems was executed to minimize fugitive dust.   </w:t>
      </w:r>
    </w:p>
    <w:p w:rsidR="00C62142" w:rsidRDefault="00C62142" w:rsidP="00C62142"/>
    <w:p w:rsidR="00502273" w:rsidRDefault="0000488A" w:rsidP="00502273">
      <w:r w:rsidRPr="00587384">
        <w:t>T</w:t>
      </w:r>
      <w:r>
        <w:t>he dry fly ash</w:t>
      </w:r>
      <w:r w:rsidR="0005662B">
        <w:t xml:space="preserve"> generated from </w:t>
      </w:r>
      <w:r w:rsidR="00C62142">
        <w:t xml:space="preserve">coal combustion in </w:t>
      </w:r>
      <w:r w:rsidR="00AB2C25">
        <w:t xml:space="preserve">Karn 1 and 2 </w:t>
      </w:r>
      <w:r w:rsidR="00C62142">
        <w:t xml:space="preserve">boilers </w:t>
      </w:r>
      <w:r w:rsidR="00E24E4F">
        <w:t>also contains spent and un-spent lime from the Spray Dryer Absorber</w:t>
      </w:r>
      <w:r w:rsidR="0005662B">
        <w:t xml:space="preserve"> as well as carbon from the Activated Carbon Injection system.  This c</w:t>
      </w:r>
      <w:r w:rsidR="00E24E4F">
        <w:t xml:space="preserve">o-mingled CCR is called “byproduct”.   </w:t>
      </w:r>
      <w:r w:rsidR="00502273">
        <w:t>The bulk of the byproduct is being beneficially re-used for landfill closure activities at the Karn Landfill, which is not a CCR unit.  The on-site licensed Weadock landfill also accepts the CCR waste from Karn 1 and 2.</w:t>
      </w:r>
    </w:p>
    <w:p w:rsidR="0005662B" w:rsidRDefault="00E24E4F" w:rsidP="007241D7">
      <w:r>
        <w:t>The byproduct</w:t>
      </w:r>
      <w:r w:rsidR="0000488A">
        <w:t xml:space="preserve"> handling system </w:t>
      </w:r>
      <w:r w:rsidR="00C80431">
        <w:t>corresponding</w:t>
      </w:r>
      <w:r w:rsidR="0005662B">
        <w:t xml:space="preserve"> point source</w:t>
      </w:r>
      <w:r w:rsidR="00C80431">
        <w:t xml:space="preserve"> particulate matter controls</w:t>
      </w:r>
      <w:r w:rsidR="0000488A">
        <w:t xml:space="preserve"> </w:t>
      </w:r>
      <w:r w:rsidR="00C80431">
        <w:t>are</w:t>
      </w:r>
      <w:r w:rsidR="0000488A">
        <w:t xml:space="preserve"> proper</w:t>
      </w:r>
      <w:r w:rsidR="00C80431">
        <w:t xml:space="preserve">ly maintained and inspected daily.  </w:t>
      </w:r>
      <w:r w:rsidR="0000488A">
        <w:t xml:space="preserve"> </w:t>
      </w:r>
    </w:p>
    <w:p w:rsidR="00C62142" w:rsidRDefault="00C62142" w:rsidP="007241D7"/>
    <w:p w:rsidR="00876C32" w:rsidRDefault="00876C32" w:rsidP="007241D7"/>
    <w:p w:rsidR="001B6718" w:rsidRDefault="0005662B" w:rsidP="007241D7">
      <w:r>
        <w:t xml:space="preserve">Prior to placement </w:t>
      </w:r>
      <w:r w:rsidR="00C62142">
        <w:t xml:space="preserve">in the haul trucks for re-use or </w:t>
      </w:r>
      <w:r>
        <w:t>disposal, the byproduct is conditioned with water through a pin-paddle mixer</w:t>
      </w:r>
      <w:r w:rsidR="00C62142">
        <w:t xml:space="preserve"> to achieve the desired moisture content</w:t>
      </w:r>
      <w:r w:rsidR="007241D7">
        <w:t xml:space="preserve">.  </w:t>
      </w:r>
      <w:r w:rsidR="00DC3039">
        <w:t>Vacuum</w:t>
      </w:r>
      <w:r w:rsidR="00300DF3">
        <w:t xml:space="preserve"> fans are operated during truck loading to capture and transfer any fugitive dust back up into the silo which is c</w:t>
      </w:r>
      <w:r w:rsidR="00C62142">
        <w:t>ontrolled by a dust collector.  Dust curtains are employed to increase the capture efficiency</w:t>
      </w:r>
      <w:r w:rsidR="00502273">
        <w:t xml:space="preserve"> of the fugitive dust from the loading process</w:t>
      </w:r>
      <w:r w:rsidR="00C62142">
        <w:t xml:space="preserve">.   </w:t>
      </w:r>
    </w:p>
    <w:p w:rsidR="001B6718" w:rsidRDefault="001B6718" w:rsidP="007241D7"/>
    <w:p w:rsidR="001B6718" w:rsidRDefault="00C62142" w:rsidP="001B6718">
      <w:r>
        <w:t>At the</w:t>
      </w:r>
      <w:r w:rsidR="001B6718">
        <w:t xml:space="preserve"> byproduct </w:t>
      </w:r>
      <w:r>
        <w:t>placement location, a</w:t>
      </w:r>
      <w:r w:rsidR="007241D7">
        <w:t xml:space="preserve"> water truck is available for further conditioning during spreading and compacting as necessary.  </w:t>
      </w:r>
      <w:r w:rsidR="001B6718">
        <w:t xml:space="preserve">Activities are suspended in the event excessive dusting (leaving the site boundaries) is occurring or when there are sustained wind speeds of over </w:t>
      </w:r>
      <w:r w:rsidR="00E74F2C">
        <w:t xml:space="preserve">25 </w:t>
      </w:r>
      <w:r w:rsidR="001B6718">
        <w:t xml:space="preserve">mph.   </w:t>
      </w:r>
      <w:r w:rsidR="00776982">
        <w:t>I</w:t>
      </w:r>
      <w:r w:rsidR="001B6718">
        <w:t>nactive portions of the open Weadock landfill</w:t>
      </w:r>
      <w:r w:rsidR="00776982">
        <w:t xml:space="preserve"> have been seeded to mitigate dust and additionally</w:t>
      </w:r>
      <w:r w:rsidR="007C6260">
        <w:t>,</w:t>
      </w:r>
      <w:r w:rsidR="00776982">
        <w:t xml:space="preserve"> </w:t>
      </w:r>
      <w:r w:rsidR="007C6260">
        <w:t xml:space="preserve">a </w:t>
      </w:r>
      <w:r w:rsidR="00776982">
        <w:t>tackifier has been utilized in areas the seed did not take</w:t>
      </w:r>
      <w:r w:rsidR="001B6718">
        <w:t xml:space="preserve">.  </w:t>
      </w:r>
    </w:p>
    <w:p w:rsidR="001B6718" w:rsidRDefault="001B6718"/>
    <w:p w:rsidR="001B6718" w:rsidRDefault="00F923A6" w:rsidP="00502273">
      <w:r>
        <w:t xml:space="preserve">The </w:t>
      </w:r>
      <w:r w:rsidR="00C62142">
        <w:t xml:space="preserve">Karn </w:t>
      </w:r>
      <w:r w:rsidR="00C80431">
        <w:t xml:space="preserve">Bottom </w:t>
      </w:r>
      <w:r w:rsidR="00AC4659">
        <w:t>Ash pond</w:t>
      </w:r>
      <w:r>
        <w:t xml:space="preserve"> </w:t>
      </w:r>
      <w:r w:rsidR="00AC4659">
        <w:t>is</w:t>
      </w:r>
      <w:r>
        <w:t xml:space="preserve"> actively accepting </w:t>
      </w:r>
      <w:r w:rsidR="00DC3039">
        <w:t>sluiced</w:t>
      </w:r>
      <w:r w:rsidR="00C80431">
        <w:t xml:space="preserve"> </w:t>
      </w:r>
      <w:r>
        <w:t>CCR materia</w:t>
      </w:r>
      <w:r w:rsidR="00DC3039">
        <w:t>l</w:t>
      </w:r>
      <w:r w:rsidR="00502273">
        <w:t xml:space="preserve"> and the pond area remains in a wet and/or vegetative condition that minimizes fugitive dust generation. </w:t>
      </w:r>
      <w:r w:rsidR="00C80431">
        <w:t xml:space="preserve"> </w:t>
      </w:r>
      <w:r w:rsidR="00DC3039">
        <w:t>Any e</w:t>
      </w:r>
      <w:r w:rsidR="00C80431">
        <w:t>xcavating and</w:t>
      </w:r>
      <w:r w:rsidR="00DC3039">
        <w:t>/or</w:t>
      </w:r>
      <w:r w:rsidR="00C80431">
        <w:t xml:space="preserve"> transfer activities </w:t>
      </w:r>
      <w:r>
        <w:t xml:space="preserve">are visually monitored for </w:t>
      </w:r>
      <w:r w:rsidR="00341DD1">
        <w:t xml:space="preserve">potential </w:t>
      </w:r>
      <w:r>
        <w:t xml:space="preserve">dusting. </w:t>
      </w:r>
      <w:r w:rsidR="00502273">
        <w:t xml:space="preserve"> </w:t>
      </w:r>
      <w:r>
        <w:t xml:space="preserve">   </w:t>
      </w:r>
      <w:r w:rsidR="00502273">
        <w:t>The Weadock bottom ash pond is no longer actively accepting CCR material; and g</w:t>
      </w:r>
      <w:r w:rsidR="00502273" w:rsidRPr="00925281">
        <w:t xml:space="preserve">rass seed has been planted </w:t>
      </w:r>
      <w:r w:rsidR="00776982">
        <w:t>across the pond and stockpile</w:t>
      </w:r>
      <w:r w:rsidR="00502273" w:rsidRPr="00925281">
        <w:t xml:space="preserve"> area</w:t>
      </w:r>
      <w:r w:rsidR="00776982">
        <w:t>s</w:t>
      </w:r>
      <w:r w:rsidR="00502273">
        <w:t xml:space="preserve">.  </w:t>
      </w:r>
    </w:p>
    <w:p w:rsidR="001B6718" w:rsidRDefault="001B6718" w:rsidP="00502273"/>
    <w:p w:rsidR="00284147" w:rsidRDefault="00502273">
      <w:r>
        <w:t>The roadways</w:t>
      </w:r>
      <w:r w:rsidR="001B6718">
        <w:t xml:space="preserve"> surrounding the CCR units</w:t>
      </w:r>
      <w:r>
        <w:t xml:space="preserve"> are well maintained and the 15 mph speed limit is observed.</w:t>
      </w:r>
    </w:p>
    <w:p w:rsidR="001B6718" w:rsidRDefault="001B6718"/>
    <w:p w:rsidR="0000488A" w:rsidRPr="00667F01" w:rsidRDefault="0000488A" w:rsidP="0000488A">
      <w:pPr>
        <w:rPr>
          <w:b/>
        </w:rPr>
      </w:pPr>
      <w:r w:rsidRPr="00667F01">
        <w:rPr>
          <w:b/>
        </w:rPr>
        <w:t>Citizen Complaints</w:t>
      </w:r>
    </w:p>
    <w:p w:rsidR="0000488A" w:rsidRDefault="0000488A" w:rsidP="0000488A">
      <w:r>
        <w:t xml:space="preserve">There were no citizen complaints of </w:t>
      </w:r>
      <w:r w:rsidR="00341DD1">
        <w:t xml:space="preserve">CCR </w:t>
      </w:r>
      <w:r>
        <w:t xml:space="preserve">fugitive dust received at the </w:t>
      </w:r>
      <w:r w:rsidR="00AC4659">
        <w:t>D.E. Karn</w:t>
      </w:r>
      <w:r w:rsidR="00EB7FCD">
        <w:t>/Weadock</w:t>
      </w:r>
      <w:r>
        <w:t xml:space="preserve"> facility for the time period October 16, 2015 to </w:t>
      </w:r>
      <w:r w:rsidR="00DC3039">
        <w:t>December 15</w:t>
      </w:r>
      <w:r>
        <w:t>, 2016</w:t>
      </w:r>
      <w:r w:rsidR="002A1D38">
        <w:t>.</w:t>
      </w:r>
    </w:p>
    <w:p w:rsidR="0000488A" w:rsidRDefault="0000488A" w:rsidP="0000488A">
      <w:pPr>
        <w:rPr>
          <w:b/>
        </w:rPr>
      </w:pPr>
    </w:p>
    <w:p w:rsidR="0000488A" w:rsidRPr="00667F01" w:rsidRDefault="0000488A" w:rsidP="0000488A">
      <w:pPr>
        <w:rPr>
          <w:b/>
        </w:rPr>
      </w:pPr>
      <w:r w:rsidRPr="00667F01">
        <w:rPr>
          <w:b/>
        </w:rPr>
        <w:t>Corrective Actions</w:t>
      </w:r>
    </w:p>
    <w:p w:rsidR="0000488A" w:rsidRDefault="0000488A" w:rsidP="0000488A">
      <w:r>
        <w:t>All potential CCR fugitive dust areas are monitored visually on a daily basis and corrective as well as preventative me</w:t>
      </w:r>
      <w:r w:rsidR="00C67D75">
        <w:t xml:space="preserve">asures are properly implemented as </w:t>
      </w:r>
      <w:r w:rsidR="00B3344F">
        <w:t>warranted</w:t>
      </w:r>
      <w:r w:rsidR="00C67D75">
        <w:t>.</w:t>
      </w:r>
      <w:r w:rsidR="002A1D38">
        <w:t xml:space="preserve">  There were no specific corrective actions warranted since the initial posting of the Fugitive Dust Control Plan</w:t>
      </w:r>
      <w:r w:rsidR="001B6718">
        <w:t xml:space="preserve"> (FDCP)</w:t>
      </w:r>
      <w:r w:rsidR="002A1D38">
        <w:t>.</w:t>
      </w:r>
    </w:p>
    <w:p w:rsidR="0000488A" w:rsidRDefault="0000488A" w:rsidP="0000488A"/>
    <w:p w:rsidR="00B3344F" w:rsidRPr="00B3344F" w:rsidRDefault="00B3344F" w:rsidP="0000488A">
      <w:pPr>
        <w:rPr>
          <w:b/>
        </w:rPr>
      </w:pPr>
      <w:r w:rsidRPr="00B3344F">
        <w:rPr>
          <w:b/>
        </w:rPr>
        <w:t>Conclusion</w:t>
      </w:r>
    </w:p>
    <w:p w:rsidR="00C67D75" w:rsidRPr="00667F01" w:rsidRDefault="00B3344F" w:rsidP="0000488A">
      <w:r>
        <w:t xml:space="preserve">An assessment of the Fugitive Dust Control Plan was conducted on </w:t>
      </w:r>
      <w:r w:rsidR="00AC4659">
        <w:t xml:space="preserve">December 8, </w:t>
      </w:r>
      <w:r w:rsidR="007241D7">
        <w:t>2016</w:t>
      </w:r>
      <w:r>
        <w:t xml:space="preserve">. Applicable aspects of the plan were found to be correctly implemented with no findings to report.  During the site visit, the FDCP was </w:t>
      </w:r>
      <w:r w:rsidR="00AC4659">
        <w:t xml:space="preserve">reviewed and will be </w:t>
      </w:r>
      <w:r w:rsidR="00EB7FCD">
        <w:t>amended</w:t>
      </w:r>
      <w:r>
        <w:t xml:space="preserve"> to reflect </w:t>
      </w:r>
      <w:r w:rsidR="007241D7">
        <w:t>current</w:t>
      </w:r>
      <w:r>
        <w:t xml:space="preserve"> operations</w:t>
      </w:r>
      <w:r w:rsidR="00AC4659">
        <w:t xml:space="preserve"> based upon the site visit</w:t>
      </w:r>
      <w:r w:rsidR="007241D7">
        <w:t>.</w:t>
      </w:r>
      <w:r>
        <w:t xml:space="preserve">   The </w:t>
      </w:r>
      <w:r w:rsidR="00EB7FCD">
        <w:t>amended</w:t>
      </w:r>
      <w:r>
        <w:t xml:space="preserve"> plan </w:t>
      </w:r>
      <w:r w:rsidR="00AC4659">
        <w:t>will be</w:t>
      </w:r>
      <w:r>
        <w:t xml:space="preserve"> signed by a professional engineer and posted to the operating record as required.</w:t>
      </w:r>
    </w:p>
    <w:p w:rsidR="0000488A" w:rsidRDefault="0000488A" w:rsidP="0000488A"/>
    <w:p w:rsidR="00D270E4" w:rsidRDefault="00D270E4" w:rsidP="00F66468"/>
    <w:p w:rsidR="000E46AB" w:rsidRPr="00F66468" w:rsidRDefault="000E46AB" w:rsidP="00F66468"/>
    <w:sectPr w:rsidR="000E46AB" w:rsidRPr="00F66468" w:rsidSect="00C24FAF">
      <w:headerReference w:type="even" r:id="rId8"/>
      <w:headerReference w:type="default" r:id="rId9"/>
      <w:headerReference w:type="first" r:id="rId10"/>
      <w:footerReference w:type="first" r:id="rId11"/>
      <w:pgSz w:w="12240" w:h="15840" w:code="1"/>
      <w:pgMar w:top="720" w:right="1440" w:bottom="1440" w:left="1440" w:header="576" w:footer="432" w:gutter="0"/>
      <w:paperSrc w:first="7" w:other="7"/>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C01" w:rsidRDefault="00A66C01">
      <w:r>
        <w:separator/>
      </w:r>
    </w:p>
  </w:endnote>
  <w:endnote w:type="continuationSeparator" w:id="0">
    <w:p w:rsidR="00A66C01" w:rsidRDefault="00A6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E4" w:rsidRDefault="00D270E4">
    <w:pPr>
      <w:pStyle w:val="Footer"/>
      <w:rPr>
        <w:sz w:val="16"/>
      </w:rPr>
    </w:pPr>
  </w:p>
  <w:p w:rsidR="00D270E4" w:rsidRPr="00A079DD" w:rsidRDefault="00CB30EF">
    <w:pPr>
      <w:pStyle w:val="Footer"/>
      <w:jc w:val="center"/>
      <w:rPr>
        <w:rFonts w:cs="Arial"/>
        <w:i/>
        <w:color w:val="0000FF"/>
        <w:sz w:val="15"/>
      </w:rPr>
    </w:pPr>
    <w:r>
      <w:rPr>
        <w:i/>
        <w:color w:val="0000FF"/>
        <w:sz w:val="15"/>
      </w:rPr>
      <w:t>1945 W Parnall Road</w:t>
    </w:r>
    <w:r w:rsidR="00DB2AEE" w:rsidRPr="00A079DD">
      <w:rPr>
        <w:i/>
        <w:color w:val="0000FF"/>
        <w:sz w:val="15"/>
      </w:rPr>
      <w:t xml:space="preserve"> - Jackson, MI 49201</w:t>
    </w:r>
    <w:r>
      <w:rPr>
        <w:i/>
        <w:color w:val="0000FF"/>
        <w:sz w:val="15"/>
      </w:rPr>
      <w:t xml:space="preserve"> - Tel: 517 788 0550  -</w:t>
    </w:r>
    <w:r w:rsidR="00DB2AEE" w:rsidRPr="00A079DD">
      <w:rPr>
        <w:i/>
        <w:color w:val="0000FF"/>
        <w:sz w:val="15"/>
      </w:rPr>
      <w:t xml:space="preserve"> </w:t>
    </w:r>
    <w:r w:rsidR="00D270E4" w:rsidRPr="00A079DD">
      <w:rPr>
        <w:rFonts w:cs="Arial"/>
        <w:i/>
        <w:color w:val="0000FF"/>
        <w:sz w:val="15"/>
      </w:rPr>
      <w:t xml:space="preserve"> </w:t>
    </w:r>
    <w:hyperlink r:id="rId1" w:tgtFrame="_parent" w:history="1">
      <w:r w:rsidR="00D270E4" w:rsidRPr="00A079DD">
        <w:rPr>
          <w:rStyle w:val="Hyperlink"/>
          <w:rFonts w:cs="Arial"/>
          <w:i/>
          <w:sz w:val="15"/>
          <w:szCs w:val="18"/>
          <w:u w:val="none"/>
        </w:rPr>
        <w:t>www.consumersenergy.com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C01" w:rsidRDefault="00A66C01">
      <w:r>
        <w:separator/>
      </w:r>
    </w:p>
  </w:footnote>
  <w:footnote w:type="continuationSeparator" w:id="0">
    <w:p w:rsidR="00A66C01" w:rsidRDefault="00A66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E4" w:rsidRDefault="00D270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70E4" w:rsidRDefault="00D270E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E4" w:rsidRDefault="00D270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60F9">
      <w:rPr>
        <w:rStyle w:val="PageNumber"/>
        <w:noProof/>
      </w:rPr>
      <w:t>2</w:t>
    </w:r>
    <w:r>
      <w:rPr>
        <w:rStyle w:val="PageNumber"/>
      </w:rPr>
      <w:fldChar w:fldCharType="end"/>
    </w:r>
  </w:p>
  <w:p w:rsidR="00D270E4" w:rsidRDefault="00D270E4">
    <w:pPr>
      <w:pStyle w:val="Header"/>
      <w:ind w:right="360"/>
      <w:jc w:val="right"/>
    </w:pPr>
    <w:r>
      <w:rPr>
        <w:rStyle w:val="PageNumber"/>
      </w:rPr>
      <w:fldChar w:fldCharType="begin"/>
    </w:r>
    <w:r>
      <w:rPr>
        <w:rStyle w:val="PageNumber"/>
      </w:rPr>
      <w:instrText xml:space="preserve"> PAGE </w:instrText>
    </w:r>
    <w:r>
      <w:rPr>
        <w:rStyle w:val="PageNumber"/>
      </w:rPr>
      <w:fldChar w:fldCharType="separate"/>
    </w:r>
    <w:r w:rsidR="00E060F9">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E4" w:rsidRDefault="003E4D42">
    <w:r>
      <w:rPr>
        <w:noProof/>
      </w:rPr>
      <w:drawing>
        <wp:anchor distT="0" distB="0" distL="114300" distR="114300" simplePos="0" relativeHeight="251657728" behindDoc="1" locked="0" layoutInCell="1" allowOverlap="1" wp14:anchorId="1D0CADD0" wp14:editId="0A74CBD3">
          <wp:simplePos x="0" y="0"/>
          <wp:positionH relativeFrom="column">
            <wp:posOffset>-104775</wp:posOffset>
          </wp:positionH>
          <wp:positionV relativeFrom="paragraph">
            <wp:posOffset>-130235</wp:posOffset>
          </wp:positionV>
          <wp:extent cx="1619250" cy="621038"/>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21461" cy="6218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0E4" w:rsidRDefault="00D270E4"/>
  <w:p w:rsidR="00D270E4" w:rsidRDefault="00D270E4">
    <w:pPr>
      <w:tabs>
        <w:tab w:val="left" w:pos="1440"/>
        <w:tab w:val="right" w:pos="9918"/>
      </w:tabs>
      <w:spacing w:before="120"/>
      <w:ind w:left="216" w:right="-720"/>
      <w:rPr>
        <w:color w:val="0000FF"/>
        <w:sz w:val="22"/>
        <w:u w:val="single"/>
      </w:rPr>
    </w:pPr>
    <w:r>
      <w:rPr>
        <w:color w:val="0000FF"/>
        <w:sz w:val="22"/>
        <w:u w:val="single"/>
      </w:rPr>
      <w:tab/>
    </w:r>
    <w:r>
      <w:rPr>
        <w:color w:val="0000FF"/>
        <w:sz w:val="22"/>
        <w:u w:val="single"/>
      </w:rPr>
      <w:tab/>
    </w:r>
  </w:p>
  <w:p w:rsidR="000E46AB" w:rsidRDefault="000E46AB">
    <w:pPr>
      <w:tabs>
        <w:tab w:val="left" w:pos="1440"/>
        <w:tab w:val="right" w:pos="9918"/>
      </w:tabs>
      <w:spacing w:before="120"/>
      <w:ind w:left="216" w:right="-720"/>
      <w:rPr>
        <w:color w:val="0000FF"/>
        <w:sz w:val="22"/>
      </w:rPr>
    </w:pPr>
  </w:p>
  <w:p w:rsidR="00D270E4" w:rsidRPr="00335D93" w:rsidRDefault="00D270E4" w:rsidP="00335D93">
    <w:pPr>
      <w:tabs>
        <w:tab w:val="left" w:pos="7353"/>
      </w:tabs>
      <w:ind w:right="-729"/>
      <w:rPr>
        <w:b/>
        <w:i/>
        <w:snapToGrid w:val="0"/>
        <w:sz w:val="20"/>
      </w:rPr>
    </w:pPr>
    <w:r>
      <w:rPr>
        <w:rFonts w:ascii="Arial" w:hAnsi="Arial" w:cs="Arial"/>
        <w:color w:val="0000FF"/>
        <w:sz w:val="14"/>
      </w:rPr>
      <w:t>A CMS Energy Company</w:t>
    </w:r>
    <w:r w:rsidR="00C24FAF" w:rsidRPr="00F66468">
      <w:rPr>
        <w:i/>
        <w:snapToGrid w:val="0"/>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91811"/>
    <w:multiLevelType w:val="hybridMultilevel"/>
    <w:tmpl w:val="F6E8ACAA"/>
    <w:lvl w:ilvl="0" w:tplc="B554E1EC">
      <w:start w:val="1"/>
      <w:numFmt w:val="decimal"/>
      <w:lvlText w:val="A."/>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EE"/>
    <w:rsid w:val="0000018C"/>
    <w:rsid w:val="0000488A"/>
    <w:rsid w:val="000209C3"/>
    <w:rsid w:val="0005662B"/>
    <w:rsid w:val="000711D6"/>
    <w:rsid w:val="00073309"/>
    <w:rsid w:val="000C266C"/>
    <w:rsid w:val="000E46AB"/>
    <w:rsid w:val="001165F9"/>
    <w:rsid w:val="00164829"/>
    <w:rsid w:val="0019493D"/>
    <w:rsid w:val="001B6718"/>
    <w:rsid w:val="001D02F0"/>
    <w:rsid w:val="00214305"/>
    <w:rsid w:val="00241F8A"/>
    <w:rsid w:val="002610D7"/>
    <w:rsid w:val="00271C67"/>
    <w:rsid w:val="00275B6D"/>
    <w:rsid w:val="00276317"/>
    <w:rsid w:val="00284147"/>
    <w:rsid w:val="00287358"/>
    <w:rsid w:val="002A1D38"/>
    <w:rsid w:val="002C149B"/>
    <w:rsid w:val="002C599C"/>
    <w:rsid w:val="002C772B"/>
    <w:rsid w:val="00300DF3"/>
    <w:rsid w:val="00335D93"/>
    <w:rsid w:val="00341DD1"/>
    <w:rsid w:val="0036495F"/>
    <w:rsid w:val="003D6781"/>
    <w:rsid w:val="003E4D42"/>
    <w:rsid w:val="00454E22"/>
    <w:rsid w:val="00486429"/>
    <w:rsid w:val="004B55EC"/>
    <w:rsid w:val="00502273"/>
    <w:rsid w:val="005273AC"/>
    <w:rsid w:val="005B5F22"/>
    <w:rsid w:val="006817B8"/>
    <w:rsid w:val="006A7D2D"/>
    <w:rsid w:val="00707CB8"/>
    <w:rsid w:val="007241D7"/>
    <w:rsid w:val="00776982"/>
    <w:rsid w:val="007903A7"/>
    <w:rsid w:val="007C6260"/>
    <w:rsid w:val="00802467"/>
    <w:rsid w:val="00876C32"/>
    <w:rsid w:val="008839A7"/>
    <w:rsid w:val="00887C02"/>
    <w:rsid w:val="008E3C8D"/>
    <w:rsid w:val="008F78C3"/>
    <w:rsid w:val="00913694"/>
    <w:rsid w:val="009A13AF"/>
    <w:rsid w:val="00A079DD"/>
    <w:rsid w:val="00A245C3"/>
    <w:rsid w:val="00A66C01"/>
    <w:rsid w:val="00AA0C38"/>
    <w:rsid w:val="00AA6FA8"/>
    <w:rsid w:val="00AB2C25"/>
    <w:rsid w:val="00AB6875"/>
    <w:rsid w:val="00AC4659"/>
    <w:rsid w:val="00AF40BC"/>
    <w:rsid w:val="00AF40CB"/>
    <w:rsid w:val="00B3344F"/>
    <w:rsid w:val="00B84116"/>
    <w:rsid w:val="00BB1398"/>
    <w:rsid w:val="00C15C1C"/>
    <w:rsid w:val="00C24FAF"/>
    <w:rsid w:val="00C62142"/>
    <w:rsid w:val="00C67D75"/>
    <w:rsid w:val="00C70CD2"/>
    <w:rsid w:val="00C80431"/>
    <w:rsid w:val="00CB30EF"/>
    <w:rsid w:val="00CD628C"/>
    <w:rsid w:val="00D270E4"/>
    <w:rsid w:val="00D81042"/>
    <w:rsid w:val="00D9410E"/>
    <w:rsid w:val="00DA0BCD"/>
    <w:rsid w:val="00DB2AEE"/>
    <w:rsid w:val="00DC0B14"/>
    <w:rsid w:val="00DC3039"/>
    <w:rsid w:val="00DD75E5"/>
    <w:rsid w:val="00E060F9"/>
    <w:rsid w:val="00E24E4F"/>
    <w:rsid w:val="00E6017B"/>
    <w:rsid w:val="00E74F2C"/>
    <w:rsid w:val="00E84A20"/>
    <w:rsid w:val="00EB04DD"/>
    <w:rsid w:val="00EB7FCD"/>
    <w:rsid w:val="00F57C72"/>
    <w:rsid w:val="00F66468"/>
    <w:rsid w:val="00F923A6"/>
    <w:rsid w:val="00FB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468"/>
    <w:rPr>
      <w:sz w:val="24"/>
      <w:szCs w:val="24"/>
    </w:rPr>
  </w:style>
  <w:style w:type="paragraph" w:styleId="Heading1">
    <w:name w:val="heading 1"/>
    <w:basedOn w:val="Normal"/>
    <w:next w:val="Normal"/>
    <w:qFormat/>
    <w:pPr>
      <w:keepNext/>
      <w:ind w:left="720" w:right="1440" w:hanging="720"/>
      <w:jc w:val="both"/>
      <w:outlineLvl w:val="0"/>
    </w:pPr>
    <w:rPr>
      <w:rFonts w:cs="Arial"/>
      <w:b/>
      <w:bCs/>
      <w:szCs w:val="32"/>
    </w:rPr>
  </w:style>
  <w:style w:type="paragraph" w:styleId="Heading2">
    <w:name w:val="heading 2"/>
    <w:basedOn w:val="Normal"/>
    <w:next w:val="Normal"/>
    <w:qFormat/>
    <w:pPr>
      <w:keepNext/>
      <w:ind w:left="1440" w:right="1440" w:hanging="720"/>
      <w:jc w:val="both"/>
      <w:outlineLvl w:val="1"/>
    </w:pPr>
    <w:rPr>
      <w:rFonts w:cs="Arial"/>
      <w:b/>
      <w:bCs/>
      <w:iCs/>
      <w:szCs w:val="28"/>
    </w:rPr>
  </w:style>
  <w:style w:type="paragraph" w:styleId="Heading3">
    <w:name w:val="heading 3"/>
    <w:basedOn w:val="Normal"/>
    <w:next w:val="Normal"/>
    <w:qFormat/>
    <w:pPr>
      <w:keepNext/>
      <w:ind w:left="1872" w:right="1440" w:hanging="432"/>
      <w:jc w:val="both"/>
      <w:outlineLvl w:val="2"/>
    </w:pPr>
    <w:rPr>
      <w:rFonts w:cs="Arial"/>
      <w:b/>
      <w:bCs/>
      <w:szCs w:val="26"/>
    </w:rPr>
  </w:style>
  <w:style w:type="paragraph" w:styleId="Heading4">
    <w:name w:val="heading 4"/>
    <w:basedOn w:val="Normal"/>
    <w:next w:val="Normal"/>
    <w:qFormat/>
    <w:pPr>
      <w:keepNext/>
      <w:ind w:left="2304" w:right="1440" w:hanging="432"/>
      <w:jc w:val="both"/>
      <w:outlineLvl w:val="3"/>
    </w:pPr>
    <w:rPr>
      <w:b/>
      <w:bCs/>
      <w:szCs w:val="28"/>
    </w:rPr>
  </w:style>
  <w:style w:type="paragraph" w:styleId="Heading5">
    <w:name w:val="heading 5"/>
    <w:basedOn w:val="Normal"/>
    <w:next w:val="Normal"/>
    <w:qFormat/>
    <w:pPr>
      <w:keepNext/>
      <w:ind w:left="2736" w:right="1440" w:hanging="432"/>
      <w:jc w:val="both"/>
      <w:outlineLvl w:val="4"/>
    </w:pPr>
    <w:rPr>
      <w:b/>
      <w:bCs/>
      <w:iCs/>
      <w:szCs w:val="26"/>
    </w:rPr>
  </w:style>
  <w:style w:type="paragraph" w:styleId="Heading6">
    <w:name w:val="heading 6"/>
    <w:basedOn w:val="Normal"/>
    <w:next w:val="Normal"/>
    <w:qFormat/>
    <w:pPr>
      <w:keepNext/>
      <w:ind w:left="3168" w:right="1440" w:hanging="432"/>
      <w:jc w:val="both"/>
      <w:outlineLvl w:val="5"/>
    </w:pPr>
    <w:rPr>
      <w:b/>
      <w:szCs w:val="22"/>
    </w:rPr>
  </w:style>
  <w:style w:type="paragraph" w:styleId="Heading7">
    <w:name w:val="heading 7"/>
    <w:basedOn w:val="Normal"/>
    <w:next w:val="Normal"/>
    <w:qFormat/>
    <w:pPr>
      <w:keepNext/>
      <w:ind w:left="3600" w:right="1440" w:hanging="432"/>
      <w:jc w:val="both"/>
      <w:outlineLvl w:val="6"/>
    </w:pPr>
    <w:rPr>
      <w:b/>
      <w:bCs/>
    </w:rPr>
  </w:style>
  <w:style w:type="paragraph" w:styleId="Heading8">
    <w:name w:val="heading 8"/>
    <w:basedOn w:val="Normal"/>
    <w:next w:val="Normal"/>
    <w:qFormat/>
    <w:pPr>
      <w:keepNext/>
      <w:ind w:left="4032" w:right="1440" w:hanging="432"/>
      <w:jc w:val="both"/>
      <w:outlineLvl w:val="7"/>
    </w:pPr>
    <w:rPr>
      <w:b/>
      <w:bCs/>
      <w:iCs/>
    </w:rPr>
  </w:style>
  <w:style w:type="paragraph" w:styleId="Heading9">
    <w:name w:val="heading 9"/>
    <w:basedOn w:val="Normal"/>
    <w:next w:val="Normal"/>
    <w:qFormat/>
    <w:pPr>
      <w:keepNext/>
      <w:ind w:left="4464" w:right="1440" w:hanging="432"/>
      <w:jc w:val="both"/>
      <w:outlineLvl w:val="8"/>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autoRedefine/>
    <w:qFormat/>
    <w:pPr>
      <w:ind w:left="1440" w:right="1440"/>
    </w:pPr>
  </w:style>
  <w:style w:type="paragraph" w:styleId="BodyText">
    <w:name w:val="Body Text"/>
    <w:basedOn w:val="Normal"/>
    <w:pPr>
      <w:spacing w:after="120"/>
    </w:pPr>
  </w:style>
  <w:style w:type="paragraph" w:styleId="Header">
    <w:name w:val="header"/>
    <w:basedOn w:val="Normal"/>
    <w:pPr>
      <w:tabs>
        <w:tab w:val="center" w:pos="4320"/>
        <w:tab w:val="right" w:pos="8640"/>
      </w:tabs>
      <w:ind w:left="-432"/>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Return1">
    <w:name w:val="Return1"/>
    <w:basedOn w:val="Normal"/>
    <w:autoRedefine/>
    <w:pPr>
      <w:jc w:val="both"/>
    </w:pPr>
  </w:style>
  <w:style w:type="paragraph" w:customStyle="1" w:styleId="Return2">
    <w:name w:val="Return2"/>
    <w:basedOn w:val="Return1"/>
    <w:autoRedefine/>
    <w:pPr>
      <w:spacing w:line="480" w:lineRule="auto"/>
    </w:pPr>
  </w:style>
  <w:style w:type="paragraph" w:styleId="TOC1">
    <w:name w:val="toc 1"/>
    <w:basedOn w:val="Normal"/>
    <w:next w:val="Normal"/>
    <w:autoRedefine/>
    <w:semiHidden/>
    <w:pPr>
      <w:tabs>
        <w:tab w:val="right" w:leader="dot" w:pos="9360"/>
      </w:tabs>
      <w:spacing w:before="240" w:after="80"/>
      <w:ind w:left="720" w:right="1440" w:hanging="720"/>
      <w:jc w:val="both"/>
      <w:outlineLvl w:val="0"/>
    </w:pPr>
    <w:rPr>
      <w:noProof/>
      <w:szCs w:val="21"/>
    </w:rPr>
  </w:style>
  <w:style w:type="paragraph" w:styleId="TOC2">
    <w:name w:val="toc 2"/>
    <w:basedOn w:val="Normal"/>
    <w:next w:val="Normal"/>
    <w:autoRedefine/>
    <w:semiHidden/>
    <w:pPr>
      <w:tabs>
        <w:tab w:val="left" w:pos="1584"/>
        <w:tab w:val="right" w:leader="dot" w:pos="9360"/>
      </w:tabs>
      <w:spacing w:after="80"/>
      <w:ind w:left="1152" w:right="1440" w:hanging="432"/>
      <w:jc w:val="both"/>
      <w:outlineLvl w:val="1"/>
    </w:pPr>
    <w:rPr>
      <w:noProof/>
      <w:szCs w:val="21"/>
    </w:rPr>
  </w:style>
  <w:style w:type="paragraph" w:styleId="TOC3">
    <w:name w:val="toc 3"/>
    <w:basedOn w:val="Normal"/>
    <w:next w:val="Normal"/>
    <w:autoRedefine/>
    <w:semiHidden/>
    <w:pPr>
      <w:tabs>
        <w:tab w:val="right" w:leader="dot" w:pos="9360"/>
      </w:tabs>
      <w:spacing w:after="80"/>
      <w:ind w:left="1584" w:right="1440" w:hanging="432"/>
      <w:jc w:val="both"/>
      <w:outlineLvl w:val="2"/>
    </w:pPr>
    <w:rPr>
      <w:bCs/>
      <w:noProof/>
      <w:szCs w:val="21"/>
    </w:rPr>
  </w:style>
  <w:style w:type="paragraph" w:styleId="TOC4">
    <w:name w:val="toc 4"/>
    <w:basedOn w:val="Normal"/>
    <w:next w:val="Normal"/>
    <w:autoRedefine/>
    <w:semiHidden/>
    <w:pPr>
      <w:tabs>
        <w:tab w:val="right" w:leader="dot" w:pos="9360"/>
      </w:tabs>
      <w:spacing w:after="80"/>
      <w:ind w:left="2016" w:right="1440" w:hanging="432"/>
      <w:jc w:val="both"/>
      <w:outlineLvl w:val="3"/>
    </w:pPr>
    <w:rPr>
      <w:bCs/>
      <w:noProof/>
      <w:szCs w:val="21"/>
    </w:rPr>
  </w:style>
  <w:style w:type="paragraph" w:styleId="TOC5">
    <w:name w:val="toc 5"/>
    <w:basedOn w:val="Normal"/>
    <w:next w:val="Normal"/>
    <w:autoRedefine/>
    <w:semiHidden/>
    <w:pPr>
      <w:tabs>
        <w:tab w:val="right" w:leader="dot" w:pos="9360"/>
      </w:tabs>
      <w:spacing w:after="80"/>
      <w:ind w:left="2448" w:right="1440" w:hanging="432"/>
      <w:jc w:val="both"/>
      <w:outlineLvl w:val="4"/>
    </w:pPr>
    <w:rPr>
      <w:bCs/>
      <w:noProof/>
      <w:szCs w:val="21"/>
    </w:rPr>
  </w:style>
  <w:style w:type="paragraph" w:styleId="TOC6">
    <w:name w:val="toc 6"/>
    <w:basedOn w:val="Normal"/>
    <w:next w:val="Normal"/>
    <w:autoRedefine/>
    <w:semiHidden/>
    <w:pPr>
      <w:tabs>
        <w:tab w:val="right" w:leader="dot" w:pos="9360"/>
      </w:tabs>
      <w:spacing w:after="80"/>
      <w:ind w:left="2880" w:right="1440" w:hanging="432"/>
      <w:jc w:val="both"/>
      <w:outlineLvl w:val="5"/>
    </w:pPr>
    <w:rPr>
      <w:bCs/>
      <w:noProof/>
      <w:szCs w:val="21"/>
    </w:rPr>
  </w:style>
  <w:style w:type="paragraph" w:styleId="TOC7">
    <w:name w:val="toc 7"/>
    <w:basedOn w:val="Normal"/>
    <w:next w:val="Normal"/>
    <w:autoRedefine/>
    <w:semiHidden/>
    <w:pPr>
      <w:tabs>
        <w:tab w:val="right" w:leader="dot" w:pos="9360"/>
      </w:tabs>
      <w:spacing w:after="80"/>
      <w:ind w:left="3312" w:right="1440" w:hanging="432"/>
      <w:jc w:val="both"/>
      <w:outlineLvl w:val="6"/>
    </w:pPr>
    <w:rPr>
      <w:bCs/>
      <w:noProof/>
      <w:szCs w:val="21"/>
    </w:rPr>
  </w:style>
  <w:style w:type="paragraph" w:styleId="TOC8">
    <w:name w:val="toc 8"/>
    <w:basedOn w:val="Normal"/>
    <w:next w:val="Normal"/>
    <w:autoRedefine/>
    <w:semiHidden/>
    <w:pPr>
      <w:tabs>
        <w:tab w:val="right" w:leader="dot" w:pos="9360"/>
      </w:tabs>
      <w:spacing w:after="80"/>
      <w:ind w:left="3744" w:right="1440" w:hanging="432"/>
      <w:jc w:val="both"/>
      <w:outlineLvl w:val="7"/>
    </w:pPr>
    <w:rPr>
      <w:bCs/>
      <w:noProof/>
      <w:szCs w:val="21"/>
    </w:rPr>
  </w:style>
  <w:style w:type="paragraph" w:styleId="TOC9">
    <w:name w:val="toc 9"/>
    <w:basedOn w:val="Normal"/>
    <w:next w:val="Normal"/>
    <w:autoRedefine/>
    <w:semiHidden/>
    <w:pPr>
      <w:tabs>
        <w:tab w:val="right" w:leader="dot" w:pos="9360"/>
      </w:tabs>
      <w:spacing w:after="80"/>
      <w:ind w:left="4176" w:right="1440" w:hanging="432"/>
      <w:jc w:val="both"/>
      <w:outlineLvl w:val="8"/>
    </w:pPr>
    <w:rPr>
      <w:bCs/>
      <w:szCs w:val="21"/>
    </w:rPr>
  </w:style>
  <w:style w:type="character" w:styleId="Hyperlink">
    <w:name w:val="Hyperlink"/>
    <w:rPr>
      <w:color w:val="0000FF"/>
      <w:u w:val="single"/>
    </w:rPr>
  </w:style>
  <w:style w:type="character" w:styleId="CommentReference">
    <w:name w:val="annotation reference"/>
    <w:basedOn w:val="DefaultParagraphFont"/>
    <w:rsid w:val="00C67D75"/>
    <w:rPr>
      <w:sz w:val="16"/>
      <w:szCs w:val="16"/>
    </w:rPr>
  </w:style>
  <w:style w:type="paragraph" w:styleId="CommentText">
    <w:name w:val="annotation text"/>
    <w:basedOn w:val="Normal"/>
    <w:link w:val="CommentTextChar"/>
    <w:rsid w:val="00C67D75"/>
    <w:rPr>
      <w:sz w:val="20"/>
      <w:szCs w:val="20"/>
    </w:rPr>
  </w:style>
  <w:style w:type="character" w:customStyle="1" w:styleId="CommentTextChar">
    <w:name w:val="Comment Text Char"/>
    <w:basedOn w:val="DefaultParagraphFont"/>
    <w:link w:val="CommentText"/>
    <w:rsid w:val="00C67D75"/>
  </w:style>
  <w:style w:type="paragraph" w:styleId="CommentSubject">
    <w:name w:val="annotation subject"/>
    <w:basedOn w:val="CommentText"/>
    <w:next w:val="CommentText"/>
    <w:link w:val="CommentSubjectChar"/>
    <w:rsid w:val="00C67D75"/>
    <w:rPr>
      <w:b/>
      <w:bCs/>
    </w:rPr>
  </w:style>
  <w:style w:type="character" w:customStyle="1" w:styleId="CommentSubjectChar">
    <w:name w:val="Comment Subject Char"/>
    <w:basedOn w:val="CommentTextChar"/>
    <w:link w:val="CommentSubject"/>
    <w:rsid w:val="00C67D75"/>
    <w:rPr>
      <w:b/>
      <w:bCs/>
    </w:rPr>
  </w:style>
  <w:style w:type="paragraph" w:styleId="BalloonText">
    <w:name w:val="Balloon Text"/>
    <w:basedOn w:val="Normal"/>
    <w:link w:val="BalloonTextChar"/>
    <w:rsid w:val="00C67D75"/>
    <w:rPr>
      <w:rFonts w:ascii="Tahoma" w:hAnsi="Tahoma" w:cs="Tahoma"/>
      <w:sz w:val="16"/>
      <w:szCs w:val="16"/>
    </w:rPr>
  </w:style>
  <w:style w:type="character" w:customStyle="1" w:styleId="BalloonTextChar">
    <w:name w:val="Balloon Text Char"/>
    <w:basedOn w:val="DefaultParagraphFont"/>
    <w:link w:val="BalloonText"/>
    <w:rsid w:val="00C67D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468"/>
    <w:rPr>
      <w:sz w:val="24"/>
      <w:szCs w:val="24"/>
    </w:rPr>
  </w:style>
  <w:style w:type="paragraph" w:styleId="Heading1">
    <w:name w:val="heading 1"/>
    <w:basedOn w:val="Normal"/>
    <w:next w:val="Normal"/>
    <w:qFormat/>
    <w:pPr>
      <w:keepNext/>
      <w:ind w:left="720" w:right="1440" w:hanging="720"/>
      <w:jc w:val="both"/>
      <w:outlineLvl w:val="0"/>
    </w:pPr>
    <w:rPr>
      <w:rFonts w:cs="Arial"/>
      <w:b/>
      <w:bCs/>
      <w:szCs w:val="32"/>
    </w:rPr>
  </w:style>
  <w:style w:type="paragraph" w:styleId="Heading2">
    <w:name w:val="heading 2"/>
    <w:basedOn w:val="Normal"/>
    <w:next w:val="Normal"/>
    <w:qFormat/>
    <w:pPr>
      <w:keepNext/>
      <w:ind w:left="1440" w:right="1440" w:hanging="720"/>
      <w:jc w:val="both"/>
      <w:outlineLvl w:val="1"/>
    </w:pPr>
    <w:rPr>
      <w:rFonts w:cs="Arial"/>
      <w:b/>
      <w:bCs/>
      <w:iCs/>
      <w:szCs w:val="28"/>
    </w:rPr>
  </w:style>
  <w:style w:type="paragraph" w:styleId="Heading3">
    <w:name w:val="heading 3"/>
    <w:basedOn w:val="Normal"/>
    <w:next w:val="Normal"/>
    <w:qFormat/>
    <w:pPr>
      <w:keepNext/>
      <w:ind w:left="1872" w:right="1440" w:hanging="432"/>
      <w:jc w:val="both"/>
      <w:outlineLvl w:val="2"/>
    </w:pPr>
    <w:rPr>
      <w:rFonts w:cs="Arial"/>
      <w:b/>
      <w:bCs/>
      <w:szCs w:val="26"/>
    </w:rPr>
  </w:style>
  <w:style w:type="paragraph" w:styleId="Heading4">
    <w:name w:val="heading 4"/>
    <w:basedOn w:val="Normal"/>
    <w:next w:val="Normal"/>
    <w:qFormat/>
    <w:pPr>
      <w:keepNext/>
      <w:ind w:left="2304" w:right="1440" w:hanging="432"/>
      <w:jc w:val="both"/>
      <w:outlineLvl w:val="3"/>
    </w:pPr>
    <w:rPr>
      <w:b/>
      <w:bCs/>
      <w:szCs w:val="28"/>
    </w:rPr>
  </w:style>
  <w:style w:type="paragraph" w:styleId="Heading5">
    <w:name w:val="heading 5"/>
    <w:basedOn w:val="Normal"/>
    <w:next w:val="Normal"/>
    <w:qFormat/>
    <w:pPr>
      <w:keepNext/>
      <w:ind w:left="2736" w:right="1440" w:hanging="432"/>
      <w:jc w:val="both"/>
      <w:outlineLvl w:val="4"/>
    </w:pPr>
    <w:rPr>
      <w:b/>
      <w:bCs/>
      <w:iCs/>
      <w:szCs w:val="26"/>
    </w:rPr>
  </w:style>
  <w:style w:type="paragraph" w:styleId="Heading6">
    <w:name w:val="heading 6"/>
    <w:basedOn w:val="Normal"/>
    <w:next w:val="Normal"/>
    <w:qFormat/>
    <w:pPr>
      <w:keepNext/>
      <w:ind w:left="3168" w:right="1440" w:hanging="432"/>
      <w:jc w:val="both"/>
      <w:outlineLvl w:val="5"/>
    </w:pPr>
    <w:rPr>
      <w:b/>
      <w:szCs w:val="22"/>
    </w:rPr>
  </w:style>
  <w:style w:type="paragraph" w:styleId="Heading7">
    <w:name w:val="heading 7"/>
    <w:basedOn w:val="Normal"/>
    <w:next w:val="Normal"/>
    <w:qFormat/>
    <w:pPr>
      <w:keepNext/>
      <w:ind w:left="3600" w:right="1440" w:hanging="432"/>
      <w:jc w:val="both"/>
      <w:outlineLvl w:val="6"/>
    </w:pPr>
    <w:rPr>
      <w:b/>
      <w:bCs/>
    </w:rPr>
  </w:style>
  <w:style w:type="paragraph" w:styleId="Heading8">
    <w:name w:val="heading 8"/>
    <w:basedOn w:val="Normal"/>
    <w:next w:val="Normal"/>
    <w:qFormat/>
    <w:pPr>
      <w:keepNext/>
      <w:ind w:left="4032" w:right="1440" w:hanging="432"/>
      <w:jc w:val="both"/>
      <w:outlineLvl w:val="7"/>
    </w:pPr>
    <w:rPr>
      <w:b/>
      <w:bCs/>
      <w:iCs/>
    </w:rPr>
  </w:style>
  <w:style w:type="paragraph" w:styleId="Heading9">
    <w:name w:val="heading 9"/>
    <w:basedOn w:val="Normal"/>
    <w:next w:val="Normal"/>
    <w:qFormat/>
    <w:pPr>
      <w:keepNext/>
      <w:ind w:left="4464" w:right="1440" w:hanging="432"/>
      <w:jc w:val="both"/>
      <w:outlineLvl w:val="8"/>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autoRedefine/>
    <w:qFormat/>
    <w:pPr>
      <w:ind w:left="1440" w:right="1440"/>
    </w:pPr>
  </w:style>
  <w:style w:type="paragraph" w:styleId="BodyText">
    <w:name w:val="Body Text"/>
    <w:basedOn w:val="Normal"/>
    <w:pPr>
      <w:spacing w:after="120"/>
    </w:pPr>
  </w:style>
  <w:style w:type="paragraph" w:styleId="Header">
    <w:name w:val="header"/>
    <w:basedOn w:val="Normal"/>
    <w:pPr>
      <w:tabs>
        <w:tab w:val="center" w:pos="4320"/>
        <w:tab w:val="right" w:pos="8640"/>
      </w:tabs>
      <w:ind w:left="-432"/>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Return1">
    <w:name w:val="Return1"/>
    <w:basedOn w:val="Normal"/>
    <w:autoRedefine/>
    <w:pPr>
      <w:jc w:val="both"/>
    </w:pPr>
  </w:style>
  <w:style w:type="paragraph" w:customStyle="1" w:styleId="Return2">
    <w:name w:val="Return2"/>
    <w:basedOn w:val="Return1"/>
    <w:autoRedefine/>
    <w:pPr>
      <w:spacing w:line="480" w:lineRule="auto"/>
    </w:pPr>
  </w:style>
  <w:style w:type="paragraph" w:styleId="TOC1">
    <w:name w:val="toc 1"/>
    <w:basedOn w:val="Normal"/>
    <w:next w:val="Normal"/>
    <w:autoRedefine/>
    <w:semiHidden/>
    <w:pPr>
      <w:tabs>
        <w:tab w:val="right" w:leader="dot" w:pos="9360"/>
      </w:tabs>
      <w:spacing w:before="240" w:after="80"/>
      <w:ind w:left="720" w:right="1440" w:hanging="720"/>
      <w:jc w:val="both"/>
      <w:outlineLvl w:val="0"/>
    </w:pPr>
    <w:rPr>
      <w:noProof/>
      <w:szCs w:val="21"/>
    </w:rPr>
  </w:style>
  <w:style w:type="paragraph" w:styleId="TOC2">
    <w:name w:val="toc 2"/>
    <w:basedOn w:val="Normal"/>
    <w:next w:val="Normal"/>
    <w:autoRedefine/>
    <w:semiHidden/>
    <w:pPr>
      <w:tabs>
        <w:tab w:val="left" w:pos="1584"/>
        <w:tab w:val="right" w:leader="dot" w:pos="9360"/>
      </w:tabs>
      <w:spacing w:after="80"/>
      <w:ind w:left="1152" w:right="1440" w:hanging="432"/>
      <w:jc w:val="both"/>
      <w:outlineLvl w:val="1"/>
    </w:pPr>
    <w:rPr>
      <w:noProof/>
      <w:szCs w:val="21"/>
    </w:rPr>
  </w:style>
  <w:style w:type="paragraph" w:styleId="TOC3">
    <w:name w:val="toc 3"/>
    <w:basedOn w:val="Normal"/>
    <w:next w:val="Normal"/>
    <w:autoRedefine/>
    <w:semiHidden/>
    <w:pPr>
      <w:tabs>
        <w:tab w:val="right" w:leader="dot" w:pos="9360"/>
      </w:tabs>
      <w:spacing w:after="80"/>
      <w:ind w:left="1584" w:right="1440" w:hanging="432"/>
      <w:jc w:val="both"/>
      <w:outlineLvl w:val="2"/>
    </w:pPr>
    <w:rPr>
      <w:bCs/>
      <w:noProof/>
      <w:szCs w:val="21"/>
    </w:rPr>
  </w:style>
  <w:style w:type="paragraph" w:styleId="TOC4">
    <w:name w:val="toc 4"/>
    <w:basedOn w:val="Normal"/>
    <w:next w:val="Normal"/>
    <w:autoRedefine/>
    <w:semiHidden/>
    <w:pPr>
      <w:tabs>
        <w:tab w:val="right" w:leader="dot" w:pos="9360"/>
      </w:tabs>
      <w:spacing w:after="80"/>
      <w:ind w:left="2016" w:right="1440" w:hanging="432"/>
      <w:jc w:val="both"/>
      <w:outlineLvl w:val="3"/>
    </w:pPr>
    <w:rPr>
      <w:bCs/>
      <w:noProof/>
      <w:szCs w:val="21"/>
    </w:rPr>
  </w:style>
  <w:style w:type="paragraph" w:styleId="TOC5">
    <w:name w:val="toc 5"/>
    <w:basedOn w:val="Normal"/>
    <w:next w:val="Normal"/>
    <w:autoRedefine/>
    <w:semiHidden/>
    <w:pPr>
      <w:tabs>
        <w:tab w:val="right" w:leader="dot" w:pos="9360"/>
      </w:tabs>
      <w:spacing w:after="80"/>
      <w:ind w:left="2448" w:right="1440" w:hanging="432"/>
      <w:jc w:val="both"/>
      <w:outlineLvl w:val="4"/>
    </w:pPr>
    <w:rPr>
      <w:bCs/>
      <w:noProof/>
      <w:szCs w:val="21"/>
    </w:rPr>
  </w:style>
  <w:style w:type="paragraph" w:styleId="TOC6">
    <w:name w:val="toc 6"/>
    <w:basedOn w:val="Normal"/>
    <w:next w:val="Normal"/>
    <w:autoRedefine/>
    <w:semiHidden/>
    <w:pPr>
      <w:tabs>
        <w:tab w:val="right" w:leader="dot" w:pos="9360"/>
      </w:tabs>
      <w:spacing w:after="80"/>
      <w:ind w:left="2880" w:right="1440" w:hanging="432"/>
      <w:jc w:val="both"/>
      <w:outlineLvl w:val="5"/>
    </w:pPr>
    <w:rPr>
      <w:bCs/>
      <w:noProof/>
      <w:szCs w:val="21"/>
    </w:rPr>
  </w:style>
  <w:style w:type="paragraph" w:styleId="TOC7">
    <w:name w:val="toc 7"/>
    <w:basedOn w:val="Normal"/>
    <w:next w:val="Normal"/>
    <w:autoRedefine/>
    <w:semiHidden/>
    <w:pPr>
      <w:tabs>
        <w:tab w:val="right" w:leader="dot" w:pos="9360"/>
      </w:tabs>
      <w:spacing w:after="80"/>
      <w:ind w:left="3312" w:right="1440" w:hanging="432"/>
      <w:jc w:val="both"/>
      <w:outlineLvl w:val="6"/>
    </w:pPr>
    <w:rPr>
      <w:bCs/>
      <w:noProof/>
      <w:szCs w:val="21"/>
    </w:rPr>
  </w:style>
  <w:style w:type="paragraph" w:styleId="TOC8">
    <w:name w:val="toc 8"/>
    <w:basedOn w:val="Normal"/>
    <w:next w:val="Normal"/>
    <w:autoRedefine/>
    <w:semiHidden/>
    <w:pPr>
      <w:tabs>
        <w:tab w:val="right" w:leader="dot" w:pos="9360"/>
      </w:tabs>
      <w:spacing w:after="80"/>
      <w:ind w:left="3744" w:right="1440" w:hanging="432"/>
      <w:jc w:val="both"/>
      <w:outlineLvl w:val="7"/>
    </w:pPr>
    <w:rPr>
      <w:bCs/>
      <w:noProof/>
      <w:szCs w:val="21"/>
    </w:rPr>
  </w:style>
  <w:style w:type="paragraph" w:styleId="TOC9">
    <w:name w:val="toc 9"/>
    <w:basedOn w:val="Normal"/>
    <w:next w:val="Normal"/>
    <w:autoRedefine/>
    <w:semiHidden/>
    <w:pPr>
      <w:tabs>
        <w:tab w:val="right" w:leader="dot" w:pos="9360"/>
      </w:tabs>
      <w:spacing w:after="80"/>
      <w:ind w:left="4176" w:right="1440" w:hanging="432"/>
      <w:jc w:val="both"/>
      <w:outlineLvl w:val="8"/>
    </w:pPr>
    <w:rPr>
      <w:bCs/>
      <w:szCs w:val="21"/>
    </w:rPr>
  </w:style>
  <w:style w:type="character" w:styleId="Hyperlink">
    <w:name w:val="Hyperlink"/>
    <w:rPr>
      <w:color w:val="0000FF"/>
      <w:u w:val="single"/>
    </w:rPr>
  </w:style>
  <w:style w:type="character" w:styleId="CommentReference">
    <w:name w:val="annotation reference"/>
    <w:basedOn w:val="DefaultParagraphFont"/>
    <w:rsid w:val="00C67D75"/>
    <w:rPr>
      <w:sz w:val="16"/>
      <w:szCs w:val="16"/>
    </w:rPr>
  </w:style>
  <w:style w:type="paragraph" w:styleId="CommentText">
    <w:name w:val="annotation text"/>
    <w:basedOn w:val="Normal"/>
    <w:link w:val="CommentTextChar"/>
    <w:rsid w:val="00C67D75"/>
    <w:rPr>
      <w:sz w:val="20"/>
      <w:szCs w:val="20"/>
    </w:rPr>
  </w:style>
  <w:style w:type="character" w:customStyle="1" w:styleId="CommentTextChar">
    <w:name w:val="Comment Text Char"/>
    <w:basedOn w:val="DefaultParagraphFont"/>
    <w:link w:val="CommentText"/>
    <w:rsid w:val="00C67D75"/>
  </w:style>
  <w:style w:type="paragraph" w:styleId="CommentSubject">
    <w:name w:val="annotation subject"/>
    <w:basedOn w:val="CommentText"/>
    <w:next w:val="CommentText"/>
    <w:link w:val="CommentSubjectChar"/>
    <w:rsid w:val="00C67D75"/>
    <w:rPr>
      <w:b/>
      <w:bCs/>
    </w:rPr>
  </w:style>
  <w:style w:type="character" w:customStyle="1" w:styleId="CommentSubjectChar">
    <w:name w:val="Comment Subject Char"/>
    <w:basedOn w:val="CommentTextChar"/>
    <w:link w:val="CommentSubject"/>
    <w:rsid w:val="00C67D75"/>
    <w:rPr>
      <w:b/>
      <w:bCs/>
    </w:rPr>
  </w:style>
  <w:style w:type="paragraph" w:styleId="BalloonText">
    <w:name w:val="Balloon Text"/>
    <w:basedOn w:val="Normal"/>
    <w:link w:val="BalloonTextChar"/>
    <w:rsid w:val="00C67D75"/>
    <w:rPr>
      <w:rFonts w:ascii="Tahoma" w:hAnsi="Tahoma" w:cs="Tahoma"/>
      <w:sz w:val="16"/>
      <w:szCs w:val="16"/>
    </w:rPr>
  </w:style>
  <w:style w:type="character" w:customStyle="1" w:styleId="BalloonTextChar">
    <w:name w:val="Balloon Text Char"/>
    <w:basedOn w:val="DefaultParagraphFont"/>
    <w:link w:val="BalloonText"/>
    <w:rsid w:val="00C67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onsumersenergy.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General Offices:</vt:lpstr>
    </vt:vector>
  </TitlesOfParts>
  <Company>Consumers Energy</Company>
  <LinksUpToDate>false</LinksUpToDate>
  <CharactersWithSpaces>4799</CharactersWithSpaces>
  <SharedDoc>false</SharedDoc>
  <HLinks>
    <vt:vector size="6" baseType="variant">
      <vt:variant>
        <vt:i4>3014773</vt:i4>
      </vt:variant>
      <vt:variant>
        <vt:i4>9</vt:i4>
      </vt:variant>
      <vt:variant>
        <vt:i4>0</vt:i4>
      </vt:variant>
      <vt:variant>
        <vt:i4>5</vt:i4>
      </vt:variant>
      <vt:variant>
        <vt:lpwstr>http://www.consumersenergy.com/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Offices:</dc:title>
  <dc:creator>Sammie B. Dalton</dc:creator>
  <cp:lastModifiedBy>Bethany L. Swanberg</cp:lastModifiedBy>
  <cp:revision>2</cp:revision>
  <cp:lastPrinted>2004-09-24T15:09:00Z</cp:lastPrinted>
  <dcterms:created xsi:type="dcterms:W3CDTF">2016-12-15T18:50:00Z</dcterms:created>
  <dcterms:modified xsi:type="dcterms:W3CDTF">2016-12-15T18:50:00Z</dcterms:modified>
</cp:coreProperties>
</file>